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09" w:rsidRPr="00436CED" w:rsidRDefault="001A6509" w:rsidP="001A6509">
      <w:pPr>
        <w:tabs>
          <w:tab w:val="left" w:pos="1704"/>
        </w:tabs>
        <w:snapToGrid w:val="0"/>
        <w:spacing w:line="300" w:lineRule="auto"/>
        <w:jc w:val="left"/>
        <w:rPr>
          <w:rFonts w:ascii="黑体" w:eastAsia="黑体" w:hAnsi="黑体" w:hint="eastAsia"/>
          <w:color w:val="000000"/>
          <w:szCs w:val="32"/>
        </w:rPr>
      </w:pPr>
      <w:r w:rsidRPr="00436CED"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1</w:t>
      </w:r>
      <w:r w:rsidRPr="00436CED">
        <w:rPr>
          <w:rFonts w:ascii="黑体" w:eastAsia="黑体" w:hAnsi="黑体" w:hint="eastAsia"/>
          <w:color w:val="000000"/>
          <w:szCs w:val="32"/>
        </w:rPr>
        <w:t>：</w:t>
      </w:r>
    </w:p>
    <w:p w:rsidR="001A6509" w:rsidRPr="00436CED" w:rsidRDefault="001A6509" w:rsidP="001A6509">
      <w:pPr>
        <w:tabs>
          <w:tab w:val="left" w:pos="1704"/>
        </w:tabs>
        <w:snapToGrid w:val="0"/>
        <w:spacing w:line="300" w:lineRule="auto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436CED">
        <w:rPr>
          <w:rFonts w:ascii="方正小标宋简体" w:eastAsia="方正小标宋简体" w:hAnsi="Times New Roman" w:hint="eastAsia"/>
          <w:color w:val="000000"/>
          <w:sz w:val="36"/>
          <w:szCs w:val="36"/>
        </w:rPr>
        <w:t>大禹学院学生综合测评实施方案（修订）</w:t>
      </w:r>
    </w:p>
    <w:p w:rsidR="001A6509" w:rsidRPr="0013154C" w:rsidRDefault="001A6509" w:rsidP="001A6509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>
        <w:rPr>
          <w:rFonts w:ascii="仿宋_GB2312"/>
          <w:szCs w:val="32"/>
        </w:rPr>
        <w:t>为</w:t>
      </w:r>
      <w:r w:rsidRPr="0013154C">
        <w:rPr>
          <w:rFonts w:ascii="仿宋_GB2312"/>
          <w:szCs w:val="32"/>
        </w:rPr>
        <w:t>鼓励学生认真学习专业知识，围绕</w:t>
      </w:r>
      <w:r w:rsidRPr="0013154C">
        <w:rPr>
          <w:rFonts w:ascii="仿宋_GB2312"/>
          <w:szCs w:val="32"/>
        </w:rPr>
        <w:t>“</w:t>
      </w:r>
      <w:r w:rsidRPr="0013154C">
        <w:rPr>
          <w:rFonts w:ascii="仿宋_GB2312"/>
          <w:szCs w:val="32"/>
        </w:rPr>
        <w:t>学术型</w:t>
      </w:r>
      <w:r w:rsidRPr="0013154C">
        <w:rPr>
          <w:rFonts w:ascii="仿宋_GB2312"/>
          <w:szCs w:val="32"/>
        </w:rPr>
        <w:t>”</w:t>
      </w:r>
      <w:r w:rsidRPr="0013154C">
        <w:rPr>
          <w:rFonts w:ascii="仿宋_GB2312"/>
          <w:szCs w:val="32"/>
        </w:rPr>
        <w:t>、</w:t>
      </w:r>
      <w:r w:rsidRPr="0013154C">
        <w:rPr>
          <w:rFonts w:ascii="仿宋_GB2312"/>
          <w:szCs w:val="32"/>
        </w:rPr>
        <w:t>“</w:t>
      </w:r>
      <w:r w:rsidRPr="0013154C">
        <w:rPr>
          <w:rFonts w:ascii="仿宋_GB2312"/>
          <w:szCs w:val="32"/>
        </w:rPr>
        <w:t>创新型</w:t>
      </w:r>
      <w:r w:rsidRPr="0013154C">
        <w:rPr>
          <w:rFonts w:ascii="仿宋_GB2312"/>
          <w:szCs w:val="32"/>
        </w:rPr>
        <w:t>”</w:t>
      </w:r>
      <w:r w:rsidRPr="0013154C">
        <w:rPr>
          <w:rFonts w:ascii="仿宋_GB2312"/>
          <w:szCs w:val="32"/>
        </w:rPr>
        <w:t>人才培养目标，努力提高综合素质，学院对学生在校期间的课程学习、创新训练、科</w:t>
      </w:r>
      <w:r w:rsidRPr="0013154C">
        <w:rPr>
          <w:rFonts w:ascii="仿宋_GB2312" w:hint="eastAsia"/>
          <w:szCs w:val="32"/>
        </w:rPr>
        <w:t>研</w:t>
      </w:r>
      <w:r w:rsidRPr="0013154C">
        <w:rPr>
          <w:rFonts w:ascii="仿宋_GB2312"/>
          <w:szCs w:val="32"/>
        </w:rPr>
        <w:t>实践等成绩进行综合测评。测评成绩是评定各类奖学金、推荐免试研究生、推荐就业等方面的</w:t>
      </w:r>
      <w:r w:rsidRPr="0013154C">
        <w:rPr>
          <w:rFonts w:ascii="仿宋_GB2312" w:hint="eastAsia"/>
          <w:szCs w:val="32"/>
        </w:rPr>
        <w:t>重要</w:t>
      </w:r>
      <w:r w:rsidRPr="0013154C">
        <w:rPr>
          <w:rFonts w:ascii="仿宋_GB2312"/>
          <w:szCs w:val="32"/>
        </w:rPr>
        <w:t>依据。修订方案从2017级学生开始执行。</w:t>
      </w:r>
    </w:p>
    <w:p w:rsidR="001A6509" w:rsidRPr="0013154C" w:rsidRDefault="001A6509" w:rsidP="001A6509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 w:rsidRPr="0013154C">
        <w:rPr>
          <w:rFonts w:ascii="仿宋_GB2312"/>
          <w:szCs w:val="32"/>
        </w:rPr>
        <w:t>综合测评分为</w:t>
      </w:r>
      <w:proofErr w:type="gramStart"/>
      <w:r w:rsidRPr="0013154C">
        <w:rPr>
          <w:rFonts w:ascii="仿宋_GB2312"/>
          <w:szCs w:val="32"/>
        </w:rPr>
        <w:t>绩点分加综合</w:t>
      </w:r>
      <w:proofErr w:type="gramEnd"/>
      <w:r w:rsidRPr="0013154C">
        <w:rPr>
          <w:rFonts w:ascii="仿宋_GB2312"/>
          <w:szCs w:val="32"/>
        </w:rPr>
        <w:t>附加分，满分为100分。即：综合测评分=</w:t>
      </w:r>
      <w:proofErr w:type="gramStart"/>
      <w:r w:rsidRPr="0013154C">
        <w:rPr>
          <w:rFonts w:ascii="仿宋_GB2312"/>
          <w:szCs w:val="32"/>
        </w:rPr>
        <w:t>绩点分</w:t>
      </w:r>
      <w:proofErr w:type="gramEnd"/>
      <w:r w:rsidRPr="0013154C">
        <w:rPr>
          <w:rFonts w:ascii="仿宋_GB2312"/>
          <w:szCs w:val="32"/>
        </w:rPr>
        <w:t>+综合附加分</w:t>
      </w:r>
      <w:r>
        <w:rPr>
          <w:rFonts w:ascii="仿宋_GB2312" w:hint="eastAsia"/>
          <w:szCs w:val="32"/>
        </w:rPr>
        <w:t>。</w:t>
      </w:r>
      <w:r w:rsidRPr="0013154C">
        <w:rPr>
          <w:rFonts w:ascii="仿宋_GB2312"/>
          <w:szCs w:val="32"/>
        </w:rPr>
        <w:t>若有弄虚作假、学术不端行为，经查实则此综合测评分直接为0。</w:t>
      </w:r>
    </w:p>
    <w:p w:rsidR="001A6509" w:rsidRPr="0013154C" w:rsidRDefault="001A6509" w:rsidP="001A6509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proofErr w:type="gramStart"/>
      <w:r w:rsidRPr="0013154C">
        <w:rPr>
          <w:rFonts w:ascii="仿宋_GB2312"/>
          <w:szCs w:val="32"/>
        </w:rPr>
        <w:t>绩点分</w:t>
      </w:r>
      <w:proofErr w:type="gramEnd"/>
      <w:r w:rsidRPr="0013154C">
        <w:rPr>
          <w:rFonts w:ascii="仿宋_GB2312"/>
          <w:szCs w:val="32"/>
        </w:rPr>
        <w:t>占总分的70%。将学生</w:t>
      </w:r>
      <w:proofErr w:type="gramStart"/>
      <w:r w:rsidRPr="0013154C">
        <w:rPr>
          <w:rFonts w:ascii="仿宋_GB2312"/>
          <w:szCs w:val="32"/>
        </w:rPr>
        <w:t>必修课绩点乘以</w:t>
      </w:r>
      <w:proofErr w:type="gramEnd"/>
      <w:r w:rsidRPr="0013154C">
        <w:rPr>
          <w:rFonts w:ascii="仿宋_GB2312"/>
          <w:szCs w:val="32"/>
        </w:rPr>
        <w:t>20换算成百分制参与计算，即：</w:t>
      </w:r>
      <w:proofErr w:type="gramStart"/>
      <w:r w:rsidRPr="0013154C">
        <w:rPr>
          <w:rFonts w:ascii="仿宋_GB2312"/>
          <w:szCs w:val="32"/>
        </w:rPr>
        <w:t>绩点分</w:t>
      </w:r>
      <w:proofErr w:type="gramEnd"/>
      <w:r w:rsidRPr="0013154C">
        <w:rPr>
          <w:rFonts w:ascii="仿宋_GB2312"/>
          <w:szCs w:val="32"/>
        </w:rPr>
        <w:t>=</w:t>
      </w:r>
      <w:proofErr w:type="gramStart"/>
      <w:r w:rsidRPr="0013154C">
        <w:rPr>
          <w:rFonts w:ascii="仿宋_GB2312"/>
          <w:szCs w:val="32"/>
        </w:rPr>
        <w:t>必修课绩点</w:t>
      </w:r>
      <w:proofErr w:type="gramEnd"/>
      <w:r w:rsidRPr="0013154C">
        <w:rPr>
          <w:rFonts w:ascii="仿宋_GB2312"/>
          <w:szCs w:val="32"/>
        </w:rPr>
        <w:t>×</w:t>
      </w:r>
      <w:r w:rsidRPr="0013154C">
        <w:rPr>
          <w:rFonts w:ascii="仿宋_GB2312"/>
          <w:szCs w:val="32"/>
        </w:rPr>
        <w:t>20</w:t>
      </w:r>
      <w:r w:rsidRPr="0013154C">
        <w:rPr>
          <w:rFonts w:ascii="仿宋_GB2312"/>
          <w:szCs w:val="32"/>
        </w:rPr>
        <w:t>×</w:t>
      </w:r>
      <w:r w:rsidRPr="0013154C">
        <w:rPr>
          <w:rFonts w:ascii="仿宋_GB2312"/>
          <w:szCs w:val="32"/>
        </w:rPr>
        <w:t>70%。</w:t>
      </w:r>
    </w:p>
    <w:p w:rsidR="001A6509" w:rsidRPr="0013154C" w:rsidRDefault="001A6509" w:rsidP="001A6509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 w:rsidRPr="0013154C">
        <w:rPr>
          <w:rFonts w:ascii="仿宋_GB2312"/>
          <w:szCs w:val="32"/>
        </w:rPr>
        <w:t>综合附加分占总分的30%。测评方面主要包含：学科竞赛获奖、外语和计算机能力的学习模块，科研实践和论文专利发表</w:t>
      </w:r>
      <w:proofErr w:type="gramStart"/>
      <w:r w:rsidRPr="0013154C">
        <w:rPr>
          <w:rFonts w:ascii="仿宋_GB2312"/>
          <w:szCs w:val="32"/>
        </w:rPr>
        <w:t>的科创模块</w:t>
      </w:r>
      <w:proofErr w:type="gramEnd"/>
      <w:r w:rsidRPr="0013154C">
        <w:rPr>
          <w:rFonts w:ascii="仿宋_GB2312"/>
          <w:szCs w:val="32"/>
        </w:rPr>
        <w:t>以及社会工作和德智体美全面发展的综合模块三类，具体如下：</w:t>
      </w:r>
    </w:p>
    <w:p w:rsidR="001A6509" w:rsidRPr="004704E5" w:rsidRDefault="001A6509" w:rsidP="001A6509">
      <w:pPr>
        <w:snapToGrid w:val="0"/>
        <w:spacing w:line="560" w:lineRule="exact"/>
        <w:ind w:firstLineChars="196" w:firstLine="628"/>
        <w:rPr>
          <w:rFonts w:ascii="Times New Roman" w:hAnsi="Times New Roman"/>
          <w:b/>
          <w:color w:val="000000"/>
          <w:szCs w:val="32"/>
        </w:rPr>
      </w:pPr>
      <w:r w:rsidRPr="004704E5">
        <w:rPr>
          <w:rFonts w:ascii="Times New Roman" w:hAnsi="Times New Roman"/>
          <w:b/>
          <w:color w:val="000000"/>
          <w:szCs w:val="32"/>
        </w:rPr>
        <w:t>1</w:t>
      </w:r>
      <w:r w:rsidRPr="004704E5">
        <w:rPr>
          <w:rFonts w:ascii="Times New Roman" w:hAnsi="Times New Roman"/>
          <w:b/>
          <w:color w:val="000000"/>
          <w:szCs w:val="32"/>
        </w:rPr>
        <w:t>、学习模块</w:t>
      </w:r>
      <w:r>
        <w:rPr>
          <w:rFonts w:ascii="Times New Roman" w:hAnsi="Times New Roman"/>
          <w:b/>
          <w:color w:val="000000"/>
          <w:szCs w:val="32"/>
        </w:rPr>
        <w:t>(</w:t>
      </w:r>
      <w:r w:rsidRPr="004704E5">
        <w:rPr>
          <w:rFonts w:ascii="Times New Roman" w:hAnsi="Times New Roman"/>
          <w:b/>
          <w:color w:val="000000"/>
          <w:szCs w:val="32"/>
        </w:rPr>
        <w:t>学科竞赛获奖、外语和计算机能力</w:t>
      </w:r>
      <w:r>
        <w:rPr>
          <w:rFonts w:ascii="Times New Roman" w:hAnsi="Times New Roman"/>
          <w:b/>
          <w:color w:val="000000"/>
          <w:szCs w:val="32"/>
        </w:rPr>
        <w:t>)</w:t>
      </w:r>
      <w:r w:rsidRPr="004704E5">
        <w:rPr>
          <w:rFonts w:ascii="Times New Roman" w:hAnsi="Times New Roman"/>
          <w:b/>
          <w:color w:val="000000"/>
          <w:szCs w:val="32"/>
        </w:rPr>
        <w:t>。各项可累加，总分不超过</w:t>
      </w:r>
      <w:r w:rsidRPr="004704E5">
        <w:rPr>
          <w:rFonts w:ascii="Times New Roman" w:hAnsi="Times New Roman"/>
          <w:b/>
          <w:color w:val="000000"/>
          <w:szCs w:val="32"/>
        </w:rPr>
        <w:t>10</w:t>
      </w:r>
      <w:r w:rsidRPr="004704E5">
        <w:rPr>
          <w:rFonts w:ascii="Times New Roman" w:hAnsi="Times New Roman"/>
          <w:b/>
          <w:color w:val="000000"/>
          <w:szCs w:val="32"/>
        </w:rPr>
        <w:t>分：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1134"/>
        <w:gridCol w:w="3176"/>
        <w:gridCol w:w="1009"/>
        <w:gridCol w:w="2810"/>
      </w:tblGrid>
      <w:tr w:rsidR="001A6509" w:rsidRPr="004704E5" w:rsidTr="006B49A2">
        <w:trPr>
          <w:trHeight w:val="34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等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备注</w:t>
            </w: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学科</w:t>
            </w:r>
          </w:p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竞赛</w:t>
            </w:r>
          </w:p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一级</w:t>
            </w:r>
          </w:p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竞赛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一等奖及以上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以名次计奖的竞赛项目，获得第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名至第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名等同于相应竞赛一等奖；第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名至第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名等同于二等奖；第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名至第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名等同于三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等奖。从校、省到全国选拔类的竞赛获奖不可累加。</w:t>
            </w: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二、三等奖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二级</w:t>
            </w:r>
          </w:p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竞赛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一等奖及以上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二、三等奖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三级</w:t>
            </w:r>
          </w:p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竞赛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一等奖及以上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二、三等奖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校院级竞赛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一等奖及以上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二、三等奖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外语和计算机</w:t>
            </w:r>
          </w:p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外语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CET-6 580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分以上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CET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与雅思之类可累加，多张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CET-6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成绩单不累加，雅思、托福、新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GRE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之间不累加。</w:t>
            </w: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CET-6 425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分以上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雅思总分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7.5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及以上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单科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6.5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及以上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；</w:t>
            </w:r>
          </w:p>
          <w:p w:rsidR="001A6509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托福总分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及以上；</w:t>
            </w:r>
          </w:p>
          <w:p w:rsidR="001A6509" w:rsidRPr="004704E5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新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GRE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328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雅思总分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单科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6.0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及以上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；</w:t>
            </w:r>
          </w:p>
          <w:p w:rsidR="001A6509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托福总分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95-104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；</w:t>
            </w:r>
          </w:p>
          <w:p w:rsidR="001A6509" w:rsidRPr="004704E5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新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GRE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320-327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雅思总分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6.5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单科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6.0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及以上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；</w:t>
            </w:r>
          </w:p>
          <w:p w:rsidR="001A6509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托福总分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85-94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；</w:t>
            </w:r>
          </w:p>
          <w:p w:rsidR="001A6509" w:rsidRPr="004704E5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新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GRE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总分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315-319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计算机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江苏省三级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两项分数不累加</w:t>
            </w:r>
          </w:p>
        </w:tc>
      </w:tr>
      <w:tr w:rsidR="001A6509" w:rsidRPr="004704E5" w:rsidTr="006B49A2">
        <w:trPr>
          <w:trHeight w:val="409"/>
          <w:jc w:val="center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国家级三级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A6509" w:rsidRPr="002B2D40" w:rsidRDefault="001A6509" w:rsidP="001A6509">
      <w:pPr>
        <w:snapToGrid w:val="0"/>
        <w:spacing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1A6509" w:rsidRPr="002B2D40" w:rsidRDefault="001A6509" w:rsidP="001A6509">
      <w:pPr>
        <w:snapToGrid w:val="0"/>
        <w:spacing w:line="276" w:lineRule="auto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2B2D40">
        <w:rPr>
          <w:rFonts w:ascii="Times New Roman" w:hAnsi="Times New Roman"/>
          <w:color w:val="000000"/>
          <w:sz w:val="24"/>
          <w:szCs w:val="24"/>
        </w:rPr>
        <w:t>注：</w:t>
      </w:r>
      <w:r w:rsidRPr="002B2D40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  <w:r w:rsidRPr="002B2D40">
        <w:rPr>
          <w:rFonts w:ascii="Times New Roman" w:hAnsi="Times New Roman"/>
          <w:color w:val="000000"/>
          <w:sz w:val="24"/>
          <w:szCs w:val="24"/>
        </w:rPr>
        <w:t>根据《</w:t>
      </w:r>
      <w:r w:rsidRPr="002B2D40">
        <w:rPr>
          <w:rFonts w:ascii="Times New Roman" w:hAnsi="Times New Roman"/>
          <w:snapToGrid w:val="0"/>
          <w:color w:val="000000"/>
          <w:sz w:val="24"/>
          <w:szCs w:val="24"/>
        </w:rPr>
        <w:t>关于公布河海大学本科学生学科竞赛级别认定结果的通知</w:t>
      </w:r>
      <w:r w:rsidRPr="002B2D40">
        <w:rPr>
          <w:rFonts w:ascii="Times New Roman" w:hAnsi="Times New Roman"/>
          <w:color w:val="000000"/>
          <w:sz w:val="24"/>
          <w:szCs w:val="24"/>
        </w:rPr>
        <w:t>》</w:t>
      </w:r>
      <w:r w:rsidRPr="002B2D40">
        <w:rPr>
          <w:rFonts w:ascii="Times New Roman" w:hAnsi="Times New Roman"/>
          <w:color w:val="000000"/>
          <w:sz w:val="24"/>
          <w:szCs w:val="24"/>
        </w:rPr>
        <w:t>(</w:t>
      </w:r>
      <w:r w:rsidRPr="002B2D40">
        <w:rPr>
          <w:rFonts w:ascii="Times New Roman" w:hAnsi="Times New Roman"/>
          <w:color w:val="000000"/>
          <w:sz w:val="24"/>
          <w:szCs w:val="24"/>
        </w:rPr>
        <w:t>河海教务〔</w:t>
      </w:r>
      <w:r w:rsidRPr="002B2D40">
        <w:rPr>
          <w:rFonts w:ascii="Times New Roman" w:hAnsi="Times New Roman"/>
          <w:color w:val="000000"/>
          <w:sz w:val="24"/>
          <w:szCs w:val="24"/>
        </w:rPr>
        <w:t>2015</w:t>
      </w:r>
      <w:r w:rsidRPr="002B2D40">
        <w:rPr>
          <w:rFonts w:ascii="Times New Roman" w:hAnsi="Times New Roman"/>
          <w:color w:val="000000"/>
          <w:sz w:val="24"/>
          <w:szCs w:val="24"/>
        </w:rPr>
        <w:t>〕</w:t>
      </w:r>
      <w:r w:rsidRPr="002B2D40">
        <w:rPr>
          <w:rFonts w:ascii="Times New Roman" w:hAnsi="Times New Roman"/>
          <w:color w:val="000000"/>
          <w:sz w:val="24"/>
          <w:szCs w:val="24"/>
        </w:rPr>
        <w:t>63</w:t>
      </w:r>
      <w:r w:rsidRPr="002B2D40">
        <w:rPr>
          <w:rFonts w:ascii="Times New Roman" w:hAnsi="Times New Roman"/>
          <w:color w:val="000000"/>
          <w:sz w:val="24"/>
          <w:szCs w:val="24"/>
        </w:rPr>
        <w:t>号</w:t>
      </w:r>
      <w:r w:rsidRPr="002B2D40">
        <w:rPr>
          <w:rFonts w:ascii="Times New Roman" w:hAnsi="Times New Roman"/>
          <w:color w:val="000000"/>
          <w:sz w:val="24"/>
          <w:szCs w:val="24"/>
        </w:rPr>
        <w:t>)</w:t>
      </w:r>
      <w:r w:rsidRPr="002B2D40">
        <w:rPr>
          <w:rFonts w:ascii="Times New Roman" w:hAnsi="Times New Roman"/>
          <w:color w:val="000000"/>
          <w:sz w:val="24"/>
          <w:szCs w:val="24"/>
        </w:rPr>
        <w:t>，如获得一级竞赛一等奖及以上、全国大学生数学建模竞赛一等奖之</w:t>
      </w:r>
      <w:r w:rsidRPr="002B2D40">
        <w:rPr>
          <w:rFonts w:ascii="Times New Roman" w:hAnsi="Times New Roman"/>
          <w:color w:val="000000"/>
          <w:sz w:val="24"/>
          <w:szCs w:val="24"/>
        </w:rPr>
        <w:t>“</w:t>
      </w:r>
      <w:r w:rsidRPr="002B2D40">
        <w:rPr>
          <w:rFonts w:ascii="Times New Roman" w:hAnsi="Times New Roman"/>
          <w:color w:val="000000"/>
          <w:sz w:val="24"/>
          <w:szCs w:val="24"/>
        </w:rPr>
        <w:t>高教杯</w:t>
      </w:r>
      <w:r w:rsidRPr="002B2D40">
        <w:rPr>
          <w:rFonts w:ascii="Times New Roman" w:hAnsi="Times New Roman"/>
          <w:color w:val="000000"/>
          <w:sz w:val="24"/>
          <w:szCs w:val="24"/>
        </w:rPr>
        <w:t>”</w:t>
      </w:r>
      <w:r w:rsidRPr="002B2D40">
        <w:rPr>
          <w:rFonts w:ascii="Times New Roman" w:hAnsi="Times New Roman"/>
          <w:color w:val="000000"/>
          <w:sz w:val="24"/>
          <w:szCs w:val="24"/>
        </w:rPr>
        <w:t>均可获得</w:t>
      </w:r>
      <w:r w:rsidRPr="002B2D40">
        <w:rPr>
          <w:rFonts w:ascii="Times New Roman" w:hAnsi="Times New Roman"/>
          <w:color w:val="000000"/>
          <w:sz w:val="24"/>
          <w:szCs w:val="24"/>
        </w:rPr>
        <w:t>8</w:t>
      </w:r>
      <w:r w:rsidRPr="002B2D40">
        <w:rPr>
          <w:rFonts w:ascii="Times New Roman" w:hAnsi="Times New Roman"/>
          <w:color w:val="000000"/>
          <w:sz w:val="24"/>
          <w:szCs w:val="24"/>
        </w:rPr>
        <w:t>分。</w:t>
      </w:r>
    </w:p>
    <w:p w:rsidR="001A6509" w:rsidRPr="002B2D40" w:rsidRDefault="001A6509" w:rsidP="001A6509">
      <w:pPr>
        <w:snapToGrid w:val="0"/>
        <w:spacing w:line="276" w:lineRule="auto"/>
        <w:ind w:firstLine="420"/>
        <w:rPr>
          <w:rFonts w:ascii="Times New Roman" w:hAnsi="Times New Roman" w:hint="eastAsia"/>
          <w:bCs/>
          <w:color w:val="000000"/>
          <w:sz w:val="24"/>
          <w:szCs w:val="24"/>
        </w:rPr>
      </w:pPr>
      <w:r w:rsidRPr="002B2D40">
        <w:rPr>
          <w:rFonts w:ascii="Times New Roman" w:hAnsi="Times New Roman"/>
          <w:bCs/>
          <w:color w:val="000000"/>
          <w:sz w:val="24"/>
          <w:szCs w:val="24"/>
        </w:rPr>
        <w:t>2</w:t>
      </w:r>
      <w:bookmarkStart w:id="0" w:name="OLE_LINK1"/>
      <w:r>
        <w:rPr>
          <w:rFonts w:ascii="Times New Roman" w:hAnsi="Times New Roman" w:hint="eastAsia"/>
          <w:bCs/>
          <w:color w:val="000000"/>
          <w:sz w:val="24"/>
          <w:szCs w:val="24"/>
        </w:rPr>
        <w:t>．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挑战杯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全国大学生课外学术科技作品竞赛及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创青春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全国大学生创业大赛</w:t>
      </w:r>
      <w:bookmarkEnd w:id="0"/>
      <w:r w:rsidRPr="002B2D40">
        <w:rPr>
          <w:rFonts w:ascii="Times New Roman" w:hAnsi="Times New Roman"/>
          <w:bCs/>
          <w:color w:val="000000"/>
          <w:sz w:val="24"/>
          <w:szCs w:val="24"/>
        </w:rPr>
        <w:t>不列入此模块，</w:t>
      </w:r>
      <w:proofErr w:type="gramStart"/>
      <w:r w:rsidRPr="002B2D40">
        <w:rPr>
          <w:rFonts w:ascii="Times New Roman" w:hAnsi="Times New Roman"/>
          <w:bCs/>
          <w:color w:val="000000"/>
          <w:sz w:val="24"/>
          <w:szCs w:val="24"/>
        </w:rPr>
        <w:t>列入科创</w:t>
      </w:r>
      <w:proofErr w:type="gramEnd"/>
      <w:r w:rsidRPr="002B2D40">
        <w:rPr>
          <w:rFonts w:ascii="Times New Roman" w:hAnsi="Times New Roman"/>
          <w:bCs/>
          <w:color w:val="000000"/>
          <w:sz w:val="24"/>
          <w:szCs w:val="24"/>
        </w:rPr>
        <w:t>模块。</w:t>
      </w:r>
    </w:p>
    <w:p w:rsidR="001A6509" w:rsidRDefault="001A6509" w:rsidP="001A6509">
      <w:pPr>
        <w:snapToGrid w:val="0"/>
        <w:spacing w:line="300" w:lineRule="auto"/>
        <w:ind w:firstLine="420"/>
        <w:rPr>
          <w:rFonts w:ascii="Times New Roman" w:hAnsi="Times New Roman" w:hint="eastAsia"/>
          <w:bCs/>
          <w:color w:val="000000"/>
          <w:sz w:val="21"/>
          <w:szCs w:val="21"/>
        </w:rPr>
      </w:pPr>
    </w:p>
    <w:p w:rsidR="001A6509" w:rsidRDefault="001A6509" w:rsidP="001A6509">
      <w:pPr>
        <w:snapToGrid w:val="0"/>
        <w:spacing w:line="300" w:lineRule="auto"/>
        <w:ind w:firstLine="420"/>
        <w:rPr>
          <w:rFonts w:ascii="Times New Roman" w:hAnsi="Times New Roman"/>
          <w:bCs/>
          <w:color w:val="000000"/>
          <w:sz w:val="21"/>
          <w:szCs w:val="21"/>
        </w:rPr>
      </w:pPr>
    </w:p>
    <w:p w:rsidR="001A6509" w:rsidRPr="004704E5" w:rsidRDefault="001A6509" w:rsidP="001A6509">
      <w:pPr>
        <w:snapToGrid w:val="0"/>
        <w:spacing w:line="560" w:lineRule="exact"/>
        <w:ind w:firstLineChars="196" w:firstLine="628"/>
        <w:rPr>
          <w:rFonts w:ascii="Times New Roman" w:hAnsi="Times New Roman"/>
          <w:b/>
          <w:color w:val="000000"/>
          <w:szCs w:val="32"/>
        </w:rPr>
      </w:pPr>
      <w:r w:rsidRPr="004704E5">
        <w:rPr>
          <w:rFonts w:ascii="Times New Roman" w:hAnsi="Times New Roman"/>
          <w:b/>
          <w:color w:val="000000"/>
          <w:szCs w:val="32"/>
        </w:rPr>
        <w:t>2</w:t>
      </w:r>
      <w:r w:rsidRPr="004704E5">
        <w:rPr>
          <w:rFonts w:ascii="Times New Roman" w:hAnsi="Times New Roman"/>
          <w:b/>
          <w:color w:val="000000"/>
          <w:szCs w:val="32"/>
        </w:rPr>
        <w:t>、</w:t>
      </w:r>
      <w:proofErr w:type="gramStart"/>
      <w:r w:rsidRPr="004704E5">
        <w:rPr>
          <w:rFonts w:ascii="Times New Roman" w:hAnsi="Times New Roman"/>
          <w:b/>
          <w:color w:val="000000"/>
          <w:szCs w:val="32"/>
        </w:rPr>
        <w:t>科创模块</w:t>
      </w:r>
      <w:proofErr w:type="gramEnd"/>
      <w:r>
        <w:rPr>
          <w:rFonts w:ascii="Times New Roman" w:hAnsi="Times New Roman"/>
          <w:b/>
          <w:color w:val="000000"/>
          <w:szCs w:val="32"/>
        </w:rPr>
        <w:t>(</w:t>
      </w:r>
      <w:r w:rsidRPr="004704E5">
        <w:rPr>
          <w:rFonts w:ascii="Times New Roman" w:hAnsi="Times New Roman"/>
          <w:b/>
          <w:color w:val="000000"/>
          <w:szCs w:val="32"/>
        </w:rPr>
        <w:t>科研实践和论文专利发表</w:t>
      </w:r>
      <w:r>
        <w:rPr>
          <w:rFonts w:ascii="Times New Roman" w:hAnsi="Times New Roman" w:hint="eastAsia"/>
          <w:b/>
          <w:color w:val="000000"/>
          <w:szCs w:val="32"/>
        </w:rPr>
        <w:t>)</w:t>
      </w:r>
      <w:r w:rsidRPr="004704E5">
        <w:rPr>
          <w:rFonts w:ascii="Times New Roman" w:hAnsi="Times New Roman"/>
          <w:b/>
          <w:color w:val="000000"/>
          <w:szCs w:val="32"/>
        </w:rPr>
        <w:t>。各项可累加，总分不超过</w:t>
      </w:r>
      <w:r w:rsidRPr="004704E5">
        <w:rPr>
          <w:rFonts w:ascii="Times New Roman" w:hAnsi="Times New Roman"/>
          <w:b/>
          <w:color w:val="000000"/>
          <w:szCs w:val="32"/>
        </w:rPr>
        <w:t>10</w:t>
      </w:r>
      <w:r w:rsidRPr="004704E5">
        <w:rPr>
          <w:rFonts w:ascii="Times New Roman" w:hAnsi="Times New Roman"/>
          <w:b/>
          <w:color w:val="000000"/>
          <w:szCs w:val="32"/>
        </w:rPr>
        <w:t>分：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8"/>
        <w:gridCol w:w="799"/>
        <w:gridCol w:w="3869"/>
        <w:gridCol w:w="837"/>
        <w:gridCol w:w="1979"/>
      </w:tblGrid>
      <w:tr w:rsidR="001A6509" w:rsidRPr="004704E5" w:rsidTr="006B49A2">
        <w:trPr>
          <w:trHeight w:val="340"/>
          <w:jc w:val="center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类别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ind w:firstLineChars="250" w:firstLine="7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备注</w:t>
            </w: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科研实践类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4704E5">
              <w:rPr>
                <w:rFonts w:ascii="Times New Roman" w:hAnsi="Times New Roman"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立项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国家级、省级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left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成员的加分为负责人的分数乘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校级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院级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0.25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中期检查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结题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国家级优秀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国家级合格、省级优秀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省级合格、校级优秀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校级合格、院级优秀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院级合格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SCI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检索论文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公开发表论文及专利第一作者加全分，增加一位排名乘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；如果导师为第一作者，学生作者排位可提前一位</w:t>
            </w: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EI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检索论文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中信所核心期刊论文、中国科技核心期刊论文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非核心期刊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发明专利第一专利人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实用新型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外观设计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第一专利人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40"/>
          <w:jc w:val="center"/>
        </w:trPr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自选题研究</w:t>
            </w:r>
          </w:p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SCI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检索论文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公开发表论文及专利第一作者加全分，增加一位排名乘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；如果导师为第一作者，学生作者排位可提前一位</w:t>
            </w:r>
          </w:p>
        </w:tc>
      </w:tr>
      <w:tr w:rsidR="001A6509" w:rsidRPr="004704E5" w:rsidTr="006B49A2">
        <w:trPr>
          <w:trHeight w:val="397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EI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检索论文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97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中信所核心期刊论文、中国科技核心期刊论文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97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非核心期刊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97"/>
          <w:jc w:val="center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发明专利第一专利人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6509" w:rsidRPr="004704E5" w:rsidTr="006B49A2">
        <w:trPr>
          <w:trHeight w:val="397"/>
          <w:jc w:val="center"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实用新型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外观设计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第一专利人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04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09" w:rsidRPr="004704E5" w:rsidRDefault="001A6509" w:rsidP="006B49A2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A6509" w:rsidRDefault="001A6509" w:rsidP="001A6509">
      <w:pPr>
        <w:snapToGrid w:val="0"/>
        <w:spacing w:line="300" w:lineRule="auto"/>
        <w:rPr>
          <w:rFonts w:ascii="Times New Roman" w:hAnsi="Times New Roman"/>
          <w:color w:val="000000"/>
          <w:sz w:val="21"/>
          <w:szCs w:val="21"/>
        </w:rPr>
      </w:pPr>
    </w:p>
    <w:p w:rsidR="001A6509" w:rsidRPr="002B2D40" w:rsidRDefault="001A6509" w:rsidP="001A6509">
      <w:pPr>
        <w:snapToGrid w:val="0"/>
        <w:spacing w:line="276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2B2D40">
        <w:rPr>
          <w:rFonts w:ascii="Times New Roman" w:hAnsi="Times New Roman"/>
          <w:color w:val="000000"/>
          <w:sz w:val="24"/>
          <w:szCs w:val="24"/>
        </w:rPr>
        <w:lastRenderedPageBreak/>
        <w:t>注：</w:t>
      </w:r>
      <w:r w:rsidRPr="002B2D40">
        <w:rPr>
          <w:rFonts w:ascii="Times New Roman" w:hAnsi="Times New Roman"/>
          <w:color w:val="000000"/>
          <w:sz w:val="24"/>
          <w:szCs w:val="24"/>
        </w:rPr>
        <w:t>1</w:t>
      </w:r>
      <w:r w:rsidRPr="002B2D40">
        <w:rPr>
          <w:rFonts w:ascii="Times New Roman" w:hAnsi="Times New Roman"/>
          <w:color w:val="000000"/>
          <w:sz w:val="24"/>
          <w:szCs w:val="24"/>
        </w:rPr>
        <w:t>、科研实践类：大学生创新创业训练计划项目、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挑战杯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全国大学生课外学术科技作品竞赛、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创青春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全国大学生创业大赛。</w:t>
      </w:r>
    </w:p>
    <w:p w:rsidR="001A6509" w:rsidRPr="002B2D40" w:rsidRDefault="001A6509" w:rsidP="001A6509">
      <w:pPr>
        <w:snapToGrid w:val="0"/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2B2D40">
        <w:rPr>
          <w:rFonts w:ascii="Times New Roman" w:hAnsi="Times New Roman"/>
          <w:color w:val="000000"/>
          <w:sz w:val="24"/>
          <w:szCs w:val="24"/>
        </w:rPr>
        <w:t>2</w:t>
      </w:r>
      <w:r w:rsidRPr="002B2D40">
        <w:rPr>
          <w:rFonts w:ascii="Times New Roman" w:hAnsi="Times New Roman"/>
          <w:color w:val="000000"/>
          <w:sz w:val="24"/>
          <w:szCs w:val="24"/>
        </w:rPr>
        <w:t>、自选题研究：参与专业导师的项目研究、兴趣点自主探索研究。</w:t>
      </w:r>
    </w:p>
    <w:p w:rsidR="001A6509" w:rsidRPr="002B2D40" w:rsidRDefault="001A6509" w:rsidP="001A6509">
      <w:pPr>
        <w:snapToGrid w:val="0"/>
        <w:spacing w:line="276" w:lineRule="auto"/>
        <w:ind w:firstLineChars="200" w:firstLine="480"/>
        <w:rPr>
          <w:rFonts w:ascii="Times New Roman" w:hAnsi="Times New Roman"/>
          <w:color w:val="00B050"/>
          <w:sz w:val="24"/>
          <w:szCs w:val="24"/>
        </w:rPr>
      </w:pPr>
      <w:r w:rsidRPr="002B2D40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2B2D40">
        <w:rPr>
          <w:rFonts w:ascii="Times New Roman" w:hAnsi="Times New Roman"/>
          <w:bCs/>
          <w:color w:val="000000"/>
          <w:sz w:val="24"/>
          <w:szCs w:val="24"/>
        </w:rPr>
        <w:t>、科研实践类成果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如获得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挑战杯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全国一等奖及以上、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创青春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proofErr w:type="gramStart"/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主体赛</w:t>
      </w:r>
      <w:proofErr w:type="gramEnd"/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全国金奖，科研实践类额外加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8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分；获得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挑战杯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全国二等奖、省赛一等奖及以上，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创青春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proofErr w:type="gramStart"/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主体赛</w:t>
      </w:r>
      <w:proofErr w:type="gramEnd"/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全国银奖、省级金奖、专项赛全国金奖，科研实践类额外加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分；获得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挑战杯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全国三等奖、省级二等奖，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创青春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proofErr w:type="gramStart"/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主体赛</w:t>
      </w:r>
      <w:proofErr w:type="gramEnd"/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全国铜奖、省级银奖，专项赛全国银奖，科研实践类额外加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2B2D40">
        <w:rPr>
          <w:rFonts w:ascii="Times New Roman" w:hAnsi="Times New Roman"/>
          <w:color w:val="000000"/>
          <w:kern w:val="0"/>
          <w:sz w:val="24"/>
          <w:szCs w:val="24"/>
        </w:rPr>
        <w:t>分。</w:t>
      </w:r>
    </w:p>
    <w:p w:rsidR="001A6509" w:rsidRPr="004704E5" w:rsidRDefault="001A6509" w:rsidP="001A6509">
      <w:pPr>
        <w:snapToGrid w:val="0"/>
        <w:spacing w:beforeLines="50" w:line="560" w:lineRule="exact"/>
        <w:rPr>
          <w:rFonts w:ascii="Times New Roman" w:hAnsi="Times New Roman"/>
          <w:b/>
          <w:color w:val="000000"/>
          <w:szCs w:val="32"/>
        </w:rPr>
      </w:pPr>
      <w:r w:rsidRPr="004704E5">
        <w:rPr>
          <w:rFonts w:ascii="Times New Roman" w:hAnsi="Times New Roman"/>
          <w:b/>
          <w:color w:val="000000"/>
          <w:szCs w:val="32"/>
        </w:rPr>
        <w:t>3</w:t>
      </w:r>
      <w:r w:rsidRPr="004704E5">
        <w:rPr>
          <w:rFonts w:ascii="Times New Roman" w:hAnsi="Times New Roman"/>
          <w:b/>
          <w:color w:val="000000"/>
          <w:szCs w:val="32"/>
        </w:rPr>
        <w:t>、综合模块</w:t>
      </w:r>
      <w:r>
        <w:rPr>
          <w:rFonts w:ascii="Times New Roman" w:hAnsi="Times New Roman"/>
          <w:b/>
          <w:color w:val="000000"/>
          <w:szCs w:val="32"/>
        </w:rPr>
        <w:t>(</w:t>
      </w:r>
      <w:r w:rsidRPr="004704E5">
        <w:rPr>
          <w:rFonts w:ascii="Times New Roman" w:hAnsi="Times New Roman"/>
          <w:b/>
          <w:color w:val="000000"/>
          <w:szCs w:val="32"/>
        </w:rPr>
        <w:t>社会工作和德智体美发展</w:t>
      </w:r>
      <w:r>
        <w:rPr>
          <w:rFonts w:ascii="Times New Roman" w:hAnsi="Times New Roman"/>
          <w:b/>
          <w:color w:val="000000"/>
          <w:szCs w:val="32"/>
        </w:rPr>
        <w:t>)</w:t>
      </w:r>
      <w:r w:rsidRPr="004704E5">
        <w:rPr>
          <w:rFonts w:ascii="Times New Roman" w:hAnsi="Times New Roman"/>
          <w:b/>
          <w:color w:val="000000"/>
          <w:szCs w:val="32"/>
        </w:rPr>
        <w:t>。各项可累加，总分不超过</w:t>
      </w:r>
      <w:r w:rsidRPr="004704E5">
        <w:rPr>
          <w:rFonts w:ascii="Times New Roman" w:hAnsi="Times New Roman"/>
          <w:b/>
          <w:color w:val="000000"/>
          <w:szCs w:val="32"/>
        </w:rPr>
        <w:t>10</w:t>
      </w:r>
      <w:r w:rsidRPr="004704E5">
        <w:rPr>
          <w:rFonts w:ascii="Times New Roman" w:hAnsi="Times New Roman"/>
          <w:b/>
          <w:color w:val="000000"/>
          <w:szCs w:val="32"/>
        </w:rPr>
        <w:t>分：</w:t>
      </w:r>
    </w:p>
    <w:tbl>
      <w:tblPr>
        <w:tblW w:w="9139" w:type="dxa"/>
        <w:jc w:val="center"/>
        <w:tblLook w:val="04A0"/>
      </w:tblPr>
      <w:tblGrid>
        <w:gridCol w:w="829"/>
        <w:gridCol w:w="3617"/>
        <w:gridCol w:w="2762"/>
        <w:gridCol w:w="851"/>
        <w:gridCol w:w="1080"/>
      </w:tblGrid>
      <w:tr w:rsidR="001A6509" w:rsidRPr="00A0390A" w:rsidTr="006B49A2">
        <w:trPr>
          <w:trHeight w:val="340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项目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等级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分值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备注</w:t>
            </w: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社会工作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一年校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(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院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)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五大学生组织</w:t>
            </w:r>
            <w:proofErr w:type="gramStart"/>
            <w:r w:rsidRPr="00A0390A">
              <w:rPr>
                <w:rFonts w:ascii="Times New Roman" w:hAnsi="Times New Roman"/>
                <w:color w:val="000000"/>
                <w:szCs w:val="32"/>
              </w:rPr>
              <w:t>主席级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各等级之间可累加</w:t>
            </w: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一年校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(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院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)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五大学生组织部长级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一年班级团支书、班长、党支部书记、学习委员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一年年级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(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班级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)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宣传委员、组织委员、生活委员、心理委员、文体委员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0.25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社会实践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校、院级社会实践重点团队负责人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Del="002B5AFD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校、院级社会实践重点团队成员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Del="002B5AFD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0.25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荣誉称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lastRenderedPageBreak/>
              <w:t>号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lastRenderedPageBreak/>
              <w:t>校级以上优秀学生等荣誉称号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校、院级优秀学生等荣誉称号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lastRenderedPageBreak/>
              <w:t>德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公益事务获得校级以上表彰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left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Cs w:val="32"/>
              </w:rPr>
              <w:t>含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资助、心理类活动</w:t>
            </w: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公益事务获得校、院级表彰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获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“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特色宿舍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”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表彰的宿舍成员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0.8</w:t>
            </w: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获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“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文明示范宿舍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”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表彰的宿舍成员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获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“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文明宿舍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”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表彰的宿舍成员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0.3</w:t>
            </w: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智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科技节活动、征文活动等获得校、院级表彰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(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一等奖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科技节活动、征文活动等获得校、院级表彰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(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二、三等奖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校级以上体育活动获奖者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36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校级体育活动获奖者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第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1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名至第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3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1</w:t>
            </w: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36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第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3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名以下名次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美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文艺活动获得校级以上表彰者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文艺活动获得校级表彰者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1</w:t>
            </w: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文化艺术节活动</w:t>
            </w:r>
            <w:r w:rsidRPr="00A0390A">
              <w:rPr>
                <w:rFonts w:ascii="Times New Roman" w:hAnsi="Times New Roman" w:hint="eastAsia"/>
                <w:color w:val="000000"/>
                <w:szCs w:val="32"/>
              </w:rPr>
              <w:t>获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得校、院级表彰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(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一等奖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1</w:t>
            </w: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 w:rsidR="001A6509" w:rsidRPr="00A0390A" w:rsidTr="006B49A2">
        <w:trPr>
          <w:trHeight w:val="340"/>
          <w:jc w:val="center"/>
        </w:trPr>
        <w:tc>
          <w:tcPr>
            <w:tcW w:w="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文化艺术节活动获得校、院级表彰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(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二、三等奖</w:t>
            </w:r>
            <w:r w:rsidRPr="00A0390A">
              <w:rPr>
                <w:rFonts w:ascii="Times New Roman" w:hAnsi="Times New Roman"/>
                <w:color w:val="000000"/>
                <w:szCs w:val="32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A0390A">
              <w:rPr>
                <w:rFonts w:ascii="Times New Roman" w:hAnsi="Times New Roman"/>
                <w:color w:val="000000"/>
                <w:szCs w:val="32"/>
              </w:rPr>
              <w:t>0.5</w:t>
            </w: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509" w:rsidRPr="00A0390A" w:rsidRDefault="001A6509" w:rsidP="006B49A2">
            <w:pPr>
              <w:snapToGrid w:val="0"/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</w:tbl>
    <w:p w:rsidR="001A6509" w:rsidRDefault="001A6509" w:rsidP="001A6509">
      <w:pPr>
        <w:snapToGrid w:val="0"/>
        <w:spacing w:line="300" w:lineRule="auto"/>
        <w:rPr>
          <w:rFonts w:ascii="Times New Roman" w:hAnsi="Times New Roman"/>
          <w:color w:val="000000"/>
          <w:sz w:val="21"/>
          <w:szCs w:val="21"/>
        </w:rPr>
      </w:pPr>
    </w:p>
    <w:p w:rsidR="001A6509" w:rsidRPr="00D526E8" w:rsidRDefault="001A6509" w:rsidP="001A6509">
      <w:pPr>
        <w:snapToGrid w:val="0"/>
        <w:spacing w:line="300" w:lineRule="auto"/>
        <w:rPr>
          <w:rFonts w:ascii="Times New Roman" w:hAnsi="Times New Roman"/>
          <w:color w:val="000000"/>
          <w:sz w:val="24"/>
          <w:szCs w:val="24"/>
        </w:rPr>
      </w:pPr>
      <w:r w:rsidRPr="00D526E8">
        <w:rPr>
          <w:rFonts w:ascii="Times New Roman" w:hAnsi="Times New Roman"/>
          <w:color w:val="000000"/>
          <w:sz w:val="24"/>
          <w:szCs w:val="24"/>
        </w:rPr>
        <w:t>注：</w:t>
      </w:r>
      <w:r w:rsidRPr="00D526E8">
        <w:rPr>
          <w:rFonts w:ascii="Times New Roman" w:hAnsi="Times New Roman"/>
          <w:color w:val="000000"/>
          <w:sz w:val="24"/>
          <w:szCs w:val="24"/>
        </w:rPr>
        <w:t>5</w:t>
      </w:r>
      <w:r w:rsidRPr="00D526E8">
        <w:rPr>
          <w:rFonts w:ascii="Times New Roman" w:hAnsi="Times New Roman"/>
          <w:color w:val="000000"/>
          <w:sz w:val="24"/>
          <w:szCs w:val="24"/>
        </w:rPr>
        <w:t>人及</w:t>
      </w:r>
      <w:r w:rsidRPr="00D526E8">
        <w:rPr>
          <w:rFonts w:ascii="Times New Roman" w:hAnsi="Times New Roman"/>
          <w:color w:val="000000"/>
          <w:sz w:val="24"/>
          <w:szCs w:val="24"/>
        </w:rPr>
        <w:t>5</w:t>
      </w:r>
      <w:r w:rsidRPr="00D526E8">
        <w:rPr>
          <w:rFonts w:ascii="Times New Roman" w:hAnsi="Times New Roman"/>
          <w:color w:val="000000"/>
          <w:sz w:val="24"/>
          <w:szCs w:val="24"/>
        </w:rPr>
        <w:t>人以上即为团体，团体项目获奖者或获表彰者加分按</w:t>
      </w:r>
      <w:r w:rsidRPr="00D526E8">
        <w:rPr>
          <w:rFonts w:ascii="Times New Roman" w:hAnsi="Times New Roman"/>
          <w:color w:val="000000"/>
          <w:sz w:val="24"/>
          <w:szCs w:val="24"/>
        </w:rPr>
        <w:t>20%</w:t>
      </w:r>
      <w:r w:rsidRPr="00D526E8">
        <w:rPr>
          <w:rFonts w:ascii="Times New Roman" w:hAnsi="Times New Roman"/>
          <w:color w:val="000000"/>
          <w:sz w:val="24"/>
          <w:szCs w:val="24"/>
        </w:rPr>
        <w:t>计。</w:t>
      </w:r>
    </w:p>
    <w:p w:rsidR="001A6509" w:rsidRDefault="001A6509" w:rsidP="001A6509">
      <w:pPr>
        <w:snapToGrid w:val="0"/>
        <w:spacing w:line="300" w:lineRule="auto"/>
        <w:ind w:firstLine="640"/>
        <w:rPr>
          <w:rFonts w:ascii="Times New Roman" w:hAnsi="Times New Roman" w:hint="eastAsia"/>
          <w:color w:val="000000"/>
          <w:sz w:val="24"/>
          <w:szCs w:val="24"/>
        </w:rPr>
      </w:pPr>
    </w:p>
    <w:p w:rsidR="001A6509" w:rsidRDefault="001A6509" w:rsidP="001A6509">
      <w:pPr>
        <w:snapToGrid w:val="0"/>
        <w:spacing w:line="300" w:lineRule="auto"/>
        <w:ind w:firstLine="640"/>
        <w:rPr>
          <w:rFonts w:ascii="Times New Roman" w:hAnsi="Times New Roman" w:hint="eastAsia"/>
          <w:color w:val="000000"/>
          <w:sz w:val="24"/>
          <w:szCs w:val="24"/>
        </w:rPr>
      </w:pPr>
    </w:p>
    <w:p w:rsidR="001A6509" w:rsidRDefault="001A6509" w:rsidP="001A6509">
      <w:pPr>
        <w:snapToGrid w:val="0"/>
        <w:spacing w:line="300" w:lineRule="auto"/>
        <w:ind w:firstLine="640"/>
        <w:rPr>
          <w:rFonts w:ascii="Times New Roman" w:hAnsi="Times New Roman" w:hint="eastAsia"/>
          <w:color w:val="000000"/>
          <w:sz w:val="24"/>
          <w:szCs w:val="24"/>
        </w:rPr>
      </w:pPr>
    </w:p>
    <w:p w:rsidR="001A6509" w:rsidRDefault="001A6509" w:rsidP="001A6509">
      <w:pPr>
        <w:snapToGrid w:val="0"/>
        <w:spacing w:line="300" w:lineRule="auto"/>
        <w:ind w:firstLine="640"/>
        <w:rPr>
          <w:rFonts w:ascii="Times New Roman" w:hAnsi="Times New Roman" w:hint="eastAsia"/>
          <w:color w:val="000000"/>
          <w:sz w:val="24"/>
          <w:szCs w:val="24"/>
        </w:rPr>
      </w:pPr>
    </w:p>
    <w:p w:rsidR="001A6509" w:rsidRDefault="001A6509" w:rsidP="001A6509">
      <w:pPr>
        <w:snapToGrid w:val="0"/>
        <w:spacing w:line="300" w:lineRule="auto"/>
        <w:ind w:firstLine="640"/>
        <w:rPr>
          <w:rFonts w:ascii="Times New Roman" w:hAnsi="Times New Roman" w:hint="eastAsia"/>
          <w:color w:val="000000"/>
          <w:sz w:val="24"/>
          <w:szCs w:val="24"/>
        </w:rPr>
      </w:pPr>
    </w:p>
    <w:p w:rsidR="001A6509" w:rsidRDefault="001A6509" w:rsidP="001A6509">
      <w:pPr>
        <w:snapToGrid w:val="0"/>
        <w:spacing w:line="300" w:lineRule="auto"/>
        <w:ind w:firstLine="640"/>
        <w:rPr>
          <w:rFonts w:ascii="Times New Roman" w:hAnsi="Times New Roman" w:hint="eastAsia"/>
          <w:color w:val="000000"/>
          <w:sz w:val="24"/>
          <w:szCs w:val="24"/>
        </w:rPr>
      </w:pPr>
    </w:p>
    <w:p w:rsidR="001A6509" w:rsidRPr="00D526E8" w:rsidRDefault="001A6509" w:rsidP="001A6509">
      <w:pPr>
        <w:snapToGrid w:val="0"/>
        <w:spacing w:line="300" w:lineRule="auto"/>
        <w:ind w:firstLine="640"/>
        <w:rPr>
          <w:rFonts w:ascii="Times New Roman" w:hAnsi="Times New Roman"/>
          <w:color w:val="000000"/>
          <w:sz w:val="24"/>
          <w:szCs w:val="24"/>
        </w:rPr>
      </w:pPr>
    </w:p>
    <w:p w:rsidR="00B15800" w:rsidRPr="001A6509" w:rsidRDefault="00B15800"/>
    <w:sectPr w:rsidR="00B15800" w:rsidRPr="001A6509" w:rsidSect="00B1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509"/>
    <w:rsid w:val="001A6509"/>
    <w:rsid w:val="00B1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09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</Words>
  <Characters>2141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2017-06-19T02:15:00Z</dcterms:created>
  <dcterms:modified xsi:type="dcterms:W3CDTF">2017-06-19T02:15:00Z</dcterms:modified>
</cp:coreProperties>
</file>